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2" w:type="pct"/>
        <w:tblCellSpacing w:w="15" w:type="dxa"/>
        <w:tblInd w:w="1500" w:type="dxa"/>
        <w:tblCellMar>
          <w:left w:w="150" w:type="dxa"/>
        </w:tblCellMar>
        <w:tblLook w:val="04A0" w:firstRow="1" w:lastRow="0" w:firstColumn="1" w:lastColumn="0" w:noHBand="0" w:noVBand="1"/>
      </w:tblPr>
      <w:tblGrid>
        <w:gridCol w:w="216"/>
        <w:gridCol w:w="201"/>
        <w:gridCol w:w="216"/>
      </w:tblGrid>
      <w:tr w:rsidR="00FD4AB0" w:rsidRPr="00FD4AB0" w:rsidTr="00FD4AB0">
        <w:trPr>
          <w:tblCellSpacing w:w="15" w:type="dxa"/>
        </w:trPr>
        <w:tc>
          <w:tcPr>
            <w:tcW w:w="1262" w:type="pct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FD4AB0" w:rsidRPr="00FD4AB0" w:rsidRDefault="00FD4AB0">
            <w:pPr>
              <w:rPr>
                <w:rFonts w:ascii="Verdana" w:hAnsi="Verdana" w:cs="Times New Roman"/>
                <w:sz w:val="24"/>
                <w:szCs w:val="24"/>
                <w:lang w:val="es-ES"/>
              </w:rPr>
            </w:pPr>
          </w:p>
        </w:tc>
        <w:tc>
          <w:tcPr>
            <w:tcW w:w="1383" w:type="pct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FD4AB0" w:rsidRPr="00FD4AB0" w:rsidRDefault="00FD4AB0">
            <w:pPr>
              <w:rPr>
                <w:rFonts w:ascii="Verdana" w:hAnsi="Verdana" w:cs="Times New Roman"/>
                <w:sz w:val="24"/>
                <w:szCs w:val="24"/>
                <w:lang w:val="es-ES"/>
              </w:rPr>
            </w:pPr>
          </w:p>
        </w:tc>
        <w:tc>
          <w:tcPr>
            <w:tcW w:w="1383" w:type="pct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FD4AB0" w:rsidRPr="00FD4AB0" w:rsidRDefault="00FD4AB0">
            <w:pPr>
              <w:rPr>
                <w:rFonts w:ascii="Verdana" w:hAnsi="Verdana" w:cs="Times New Roman"/>
                <w:sz w:val="24"/>
                <w:szCs w:val="24"/>
                <w:lang w:val="es-ES"/>
              </w:rPr>
            </w:pPr>
          </w:p>
        </w:tc>
      </w:tr>
    </w:tbl>
    <w:p w:rsidR="00FD4AB0" w:rsidRPr="00FD4AB0" w:rsidRDefault="00FD4AB0" w:rsidP="00FD4AB0">
      <w:pPr>
        <w:rPr>
          <w:rFonts w:ascii="Verdana" w:eastAsia="Times New Roman" w:hAnsi="Verdana" w:cs="Arial"/>
          <w:vanish/>
          <w:sz w:val="24"/>
          <w:szCs w:val="24"/>
          <w:lang w:val="es-ES" w:eastAsia="en-GB"/>
        </w:rPr>
      </w:pPr>
    </w:p>
    <w:tbl>
      <w:tblPr>
        <w:tblW w:w="0" w:type="auto"/>
        <w:tblCellSpacing w:w="15" w:type="dxa"/>
        <w:tblInd w:w="1500" w:type="dxa"/>
        <w:tblCellMar>
          <w:left w:w="150" w:type="dxa"/>
        </w:tblCellMar>
        <w:tblLook w:val="04A0" w:firstRow="1" w:lastRow="0" w:firstColumn="1" w:lastColumn="0" w:noHBand="0" w:noVBand="1"/>
      </w:tblPr>
      <w:tblGrid>
        <w:gridCol w:w="231"/>
      </w:tblGrid>
      <w:tr w:rsidR="00FD4AB0" w:rsidRPr="00FD4AB0" w:rsidTr="00FD4AB0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D4AB0" w:rsidRPr="00FD4AB0" w:rsidRDefault="00FD4AB0">
            <w:pPr>
              <w:rPr>
                <w:rFonts w:ascii="Verdana" w:hAnsi="Verdana" w:cs="Times New Roman"/>
                <w:sz w:val="24"/>
                <w:szCs w:val="24"/>
                <w:lang w:val="es-ES"/>
              </w:rPr>
            </w:pPr>
          </w:p>
        </w:tc>
      </w:tr>
      <w:tr w:rsidR="00FD4AB0" w:rsidRPr="00FD4AB0" w:rsidTr="00FD4AB0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D4AB0" w:rsidRPr="00FD4AB0" w:rsidRDefault="00FD4AB0">
            <w:pPr>
              <w:rPr>
                <w:rFonts w:ascii="Verdana" w:eastAsia="Times New Roman" w:hAnsi="Verdana" w:cs="Arial"/>
                <w:color w:val="000000"/>
                <w:sz w:val="24"/>
                <w:szCs w:val="24"/>
                <w:lang w:val="es-ES" w:eastAsia="en-GB"/>
              </w:rPr>
            </w:pPr>
          </w:p>
        </w:tc>
      </w:tr>
    </w:tbl>
    <w:p w:rsidR="0022317E" w:rsidRPr="00FD4AB0" w:rsidRDefault="0022317E">
      <w:pPr>
        <w:rPr>
          <w:rFonts w:ascii="Verdana" w:hAnsi="Verdana"/>
          <w:sz w:val="24"/>
          <w:szCs w:val="24"/>
          <w:lang w:val="es-ES"/>
        </w:rPr>
      </w:pPr>
    </w:p>
    <w:p w:rsidR="00FD4AB0" w:rsidRPr="00FD4AB0" w:rsidRDefault="00FD4AB0" w:rsidP="00FD4AB0">
      <w:pPr>
        <w:spacing w:before="100" w:beforeAutospacing="1" w:after="100" w:afterAutospacing="1"/>
        <w:rPr>
          <w:rFonts w:ascii="Verdana" w:eastAsia="Times New Roman" w:hAnsi="Verdana" w:cs="Arial"/>
          <w:b/>
          <w:color w:val="000000"/>
          <w:sz w:val="24"/>
          <w:szCs w:val="24"/>
          <w:lang w:val="es-ES" w:eastAsia="en-GB"/>
        </w:rPr>
      </w:pPr>
      <w:r w:rsidRPr="00FD4AB0">
        <w:rPr>
          <w:rFonts w:ascii="Verdana" w:eastAsia="Times New Roman" w:hAnsi="Verdana" w:cs="Arial"/>
          <w:b/>
          <w:color w:val="000000"/>
          <w:sz w:val="24"/>
          <w:szCs w:val="24"/>
          <w:lang w:val="es-ES" w:eastAsia="en-GB"/>
        </w:rPr>
        <w:t>Acuerdan en Cuba plan de acción regional sobre suelos</w:t>
      </w:r>
    </w:p>
    <w:p w:rsidR="00FD4AB0" w:rsidRPr="00FD4AB0" w:rsidRDefault="00FD4AB0" w:rsidP="00FD4AB0">
      <w:pPr>
        <w:spacing w:before="100" w:beforeAutospacing="1" w:after="100" w:afterAutospacing="1"/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</w:pP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t>La Habana, 3 oct (PL) Expertos participantes aquí en un taller de la FAO de Lanzamiento de la Alianza Mundial de Suelos en Centroamérica y el Caribe, acordaron hoy un plan de acción para proteger ese recurso natural en la región.</w:t>
      </w:r>
    </w:p>
    <w:p w:rsidR="00FD4AB0" w:rsidRDefault="00FD4AB0" w:rsidP="00FD4AB0">
      <w:pPr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</w:pP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t>La reunión sesionó desde el lunes en el Hotel Meliá Habana y fue auspiciada por la Organización de Naciones Unidas para la Agricultura y la Alimentación (FAO) y el Instituto de Suelos de Cuba.</w:t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  <w:t>Participaron funcionarios y especialistas de ese organismo de ONU y de una veintena países del área, entre ellos México, Haití, Venezuela, Belice, Guatemala, Jamaica, República Dominicana, Panamá, Honduras, Colombia, Guyana, Cuba, Granada, Puerto Rico y Trinidad y Tobago.</w:t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  <w:t xml:space="preserve">Entre las acciones que llevarán a cabo, dadas a conocer en un </w:t>
      </w:r>
      <w:r w:rsidRPr="00FD4AB0">
        <w:rPr>
          <w:rFonts w:ascii="Verdana" w:eastAsia="Times New Roman" w:hAnsi="Verdana" w:cs="Arial"/>
          <w:b/>
          <w:color w:val="95B3D7" w:themeColor="accent1" w:themeTint="99"/>
          <w:sz w:val="24"/>
          <w:szCs w:val="24"/>
          <w:lang w:val="es-ES" w:eastAsia="en-GB"/>
        </w:rPr>
        <w:t>comunicado</w:t>
      </w:r>
      <w:r w:rsidRPr="00FD4AB0">
        <w:rPr>
          <w:rFonts w:ascii="Verdana" w:eastAsia="Times New Roman" w:hAnsi="Verdana" w:cs="Arial"/>
          <w:color w:val="95B3D7" w:themeColor="accent1" w:themeTint="99"/>
          <w:sz w:val="24"/>
          <w:szCs w:val="24"/>
          <w:lang w:val="es-ES" w:eastAsia="en-GB"/>
        </w:rPr>
        <w:t xml:space="preserve"> </w:t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t>al término del encuentro, destacan establecer legislaciones nacionales que posibiliten la protección del recurso suelo y su manejo sostenible, así como las correspondientes regulaciones para su implementación.</w:t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  <w:t>También figuran entre las de mayor prioridad, elaborar, compartir y transferir sistemas regionales de información de suelos que sean consistentes y actualizados y reúnan todas las necesidades para su uso y con las mejores técnicas disponibles.</w:t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  <w:t xml:space="preserve">Asimismo, el desarrollo e implementación de un programa de transferencia de conocimiento a todos los niveles, mediante educación, capacitación y </w:t>
      </w:r>
      <w:proofErr w:type="spellStart"/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t>extensionismo</w:t>
      </w:r>
      <w:proofErr w:type="spellEnd"/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t xml:space="preserve"> a fin de crear capacidades en las aplicaciones de los suelos para las actuales y futuras generaciones de expertos en la temática de la Ciencia del Suelo y Manejo de la Tierra.</w:t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  <w:t>El oficial de la FAO para Suelos, Ronald Vargas, llamó a implementar lo acordado en esta cita en La Habana y a una mayor interacción entre los países integrantes de la Alianza, en aras de cumplir los planes propuestos relacionados con la conservación y manejo sostenible de ese recurso.</w:t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  <w:t>Por su parte, el director del Instituto de Suelos de Cuba, Dagoberto Rodríguez, dijo que esta isla mantendrá el apoyo a la conservación y manejo sostenible de ese factor vital de la producción agrícola y al grupo de trabajo regional creado.</w:t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br/>
        <w:t xml:space="preserve">En declaraciones a Prensa Latina, el presidente de la Alianza Mundial de </w:t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lastRenderedPageBreak/>
        <w:t>Suelo para Centroamérica y el Caribe, Luis Álvarez, quien labora en la Oficina de regional de la FAO en Panamá, dijo que ese recurso es el origen de la vida, pues ahí están los microbios y nutrientes, el potencial de la seguridad alimentaria.</w:t>
      </w:r>
    </w:p>
    <w:p w:rsidR="00FD4AB0" w:rsidRDefault="00FD4AB0" w:rsidP="00FD4AB0">
      <w:pPr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</w:pPr>
    </w:p>
    <w:p w:rsidR="00FD4AB0" w:rsidRPr="00FD4AB0" w:rsidRDefault="00FD4AB0" w:rsidP="00FD4AB0">
      <w:pPr>
        <w:rPr>
          <w:rFonts w:ascii="Verdana" w:hAnsi="Verdana"/>
          <w:sz w:val="24"/>
          <w:szCs w:val="24"/>
          <w:lang w:val="es-ES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t xml:space="preserve">Hipertexto: </w:t>
      </w:r>
      <w:r w:rsidRPr="00FD4AB0"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t>comunicado</w:t>
      </w:r>
      <w:r>
        <w:rPr>
          <w:rFonts w:ascii="Verdana" w:eastAsia="Times New Roman" w:hAnsi="Verdana" w:cs="Arial"/>
          <w:color w:val="000000"/>
          <w:sz w:val="24"/>
          <w:szCs w:val="24"/>
          <w:lang w:val="es-ES" w:eastAsia="en-GB"/>
        </w:rPr>
        <w:t xml:space="preserve"> (texto del comunicado) </w:t>
      </w:r>
      <w:bookmarkStart w:id="0" w:name="_GoBack"/>
      <w:bookmarkEnd w:id="0"/>
    </w:p>
    <w:sectPr w:rsidR="00FD4AB0" w:rsidRPr="00FD4AB0" w:rsidSect="009C087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B0"/>
    <w:rsid w:val="0022317E"/>
    <w:rsid w:val="005E0F11"/>
    <w:rsid w:val="009A4ECB"/>
    <w:rsid w:val="009C087B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B0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F11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5E0F11"/>
    <w:rPr>
      <w:rFonts w:ascii="Times New Roman" w:hAnsi="Times New Roman"/>
      <w:sz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9C087B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87B"/>
    <w:rPr>
      <w:rFonts w:ascii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B0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F11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5E0F11"/>
    <w:rPr>
      <w:rFonts w:ascii="Times New Roman" w:hAnsi="Times New Roman"/>
      <w:sz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9C087B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87B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Company>FAO of the UN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Alonso, Iramis (FAOCU)</dc:creator>
  <cp:lastModifiedBy>Alonso, Iramis (FAOCU)</cp:lastModifiedBy>
  <cp:revision>1</cp:revision>
  <dcterms:created xsi:type="dcterms:W3CDTF">2013-10-04T15:34:00Z</dcterms:created>
  <dcterms:modified xsi:type="dcterms:W3CDTF">2013-10-04T15:36:00Z</dcterms:modified>
</cp:coreProperties>
</file>